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48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8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</w:pPr>
      <w:bookmarkStart w:id="0" w:name="_Hlk101428130"/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2024年度文化艺术活动经费项目绩效评价报告</w:t>
      </w:r>
    </w:p>
    <w:tbl>
      <w:tblPr>
        <w:tblStyle w:val="8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06"/>
        <w:gridCol w:w="1312"/>
        <w:gridCol w:w="1367"/>
        <w:gridCol w:w="334"/>
        <w:gridCol w:w="99"/>
        <w:gridCol w:w="19"/>
        <w:gridCol w:w="915"/>
        <w:gridCol w:w="914"/>
        <w:gridCol w:w="453"/>
        <w:gridCol w:w="1370"/>
      </w:tblGrid>
      <w:tr w14:paraId="1AD672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5812D3B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一、项目基本情况</w:t>
            </w:r>
          </w:p>
        </w:tc>
      </w:tr>
      <w:bookmarkEnd w:id="0"/>
      <w:tr w14:paraId="531085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restart"/>
            <w:shd w:val="clear" w:color="auto" w:fill="auto"/>
            <w:vAlign w:val="center"/>
          </w:tcPr>
          <w:p w14:paraId="1976FA1C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基本</w:t>
            </w:r>
          </w:p>
          <w:p w14:paraId="306BE324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32ABF9FC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2EEBAED0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2024年度文化艺术活动经费项目绩效评价报告</w:t>
            </w:r>
          </w:p>
        </w:tc>
      </w:tr>
      <w:tr w14:paraId="70A49B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3170B51F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280ABE72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评价年度</w:t>
            </w:r>
          </w:p>
        </w:tc>
        <w:tc>
          <w:tcPr>
            <w:tcW w:w="1056" w:type="pct"/>
            <w:gridSpan w:val="3"/>
            <w:shd w:val="clear" w:color="auto" w:fill="auto"/>
            <w:vAlign w:val="center"/>
          </w:tcPr>
          <w:p w14:paraId="03FAB08A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084" w:type="pct"/>
            <w:gridSpan w:val="3"/>
            <w:shd w:val="clear" w:color="auto" w:fill="auto"/>
            <w:vAlign w:val="center"/>
          </w:tcPr>
          <w:p w14:paraId="2F9D8454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评价类型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54E75887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</w:tc>
      </w:tr>
      <w:tr w14:paraId="5E89E2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78DBD700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4D60D68C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委托评价单位</w:t>
            </w:r>
          </w:p>
        </w:tc>
        <w:tc>
          <w:tcPr>
            <w:tcW w:w="1056" w:type="pct"/>
            <w:gridSpan w:val="3"/>
            <w:shd w:val="clear" w:color="auto" w:fill="auto"/>
            <w:vAlign w:val="center"/>
          </w:tcPr>
          <w:p w14:paraId="2430B13B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甘肃省文学艺术界联合会</w:t>
            </w:r>
          </w:p>
        </w:tc>
        <w:tc>
          <w:tcPr>
            <w:tcW w:w="1084" w:type="pct"/>
            <w:gridSpan w:val="3"/>
            <w:shd w:val="clear" w:color="auto" w:fill="auto"/>
            <w:vAlign w:val="center"/>
          </w:tcPr>
          <w:p w14:paraId="5C5B8C8D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评价机构名称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45AED311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甘肃迅敦管理咨询有限公司</w:t>
            </w:r>
          </w:p>
        </w:tc>
      </w:tr>
      <w:tr w14:paraId="5F4EF9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2E6058E0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50D15592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评价对象名称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797AB97A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2024年度文化艺术活动经费项目</w:t>
            </w:r>
          </w:p>
        </w:tc>
      </w:tr>
      <w:tr w14:paraId="171145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606" w:type="pct"/>
            <w:shd w:val="clear" w:color="auto" w:fill="auto"/>
            <w:vAlign w:val="center"/>
          </w:tcPr>
          <w:p w14:paraId="7A8859FA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评价</w:t>
            </w:r>
          </w:p>
          <w:p w14:paraId="7BEA2801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目的</w:t>
            </w:r>
          </w:p>
        </w:tc>
        <w:tc>
          <w:tcPr>
            <w:tcW w:w="4393" w:type="pct"/>
            <w:gridSpan w:val="10"/>
            <w:shd w:val="clear" w:color="auto" w:fill="auto"/>
            <w:vAlign w:val="center"/>
          </w:tcPr>
          <w:p w14:paraId="1468F769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通过开展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2024年度文化艺术活动经费项目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绩效评价，了解项目资金支出与项目计划内容是否相匹配，对我省文艺事业发展是否起到促进作用，进而及时发现项目实施过程中存在的问题，针对存在的问题提出可行性建议，做到及时纠偏，从而提高财政资金的管理水平和使用效益。</w:t>
            </w:r>
          </w:p>
        </w:tc>
      </w:tr>
      <w:tr w14:paraId="66CB39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restart"/>
            <w:shd w:val="clear" w:color="auto" w:fill="auto"/>
            <w:vAlign w:val="center"/>
          </w:tcPr>
          <w:p w14:paraId="494009AB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资金</w:t>
            </w:r>
          </w:p>
          <w:p w14:paraId="1691E9D4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情况</w:t>
            </w:r>
          </w:p>
          <w:p w14:paraId="6098BB83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5DA6AD97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预算安排资金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27CB93F3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167.20</w:t>
            </w:r>
          </w:p>
        </w:tc>
        <w:tc>
          <w:tcPr>
            <w:tcW w:w="1142" w:type="pct"/>
            <w:gridSpan w:val="4"/>
            <w:shd w:val="clear" w:color="auto" w:fill="auto"/>
            <w:vAlign w:val="center"/>
          </w:tcPr>
          <w:p w14:paraId="4484B91C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实际到位资金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2E689912">
            <w:pPr>
              <w:widowControl w:val="0"/>
              <w:snapToGrid w:val="0"/>
              <w:spacing w:after="0" w:line="3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167.20</w:t>
            </w:r>
          </w:p>
        </w:tc>
      </w:tr>
      <w:tr w14:paraId="7DC46B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206B6770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12B3413A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其中：中央财政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F067867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42" w:type="pct"/>
            <w:gridSpan w:val="4"/>
            <w:shd w:val="clear" w:color="auto" w:fill="auto"/>
            <w:vAlign w:val="center"/>
          </w:tcPr>
          <w:p w14:paraId="7169C56E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其中：中央财政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1A2F744A">
            <w:pPr>
              <w:widowControl w:val="0"/>
              <w:snapToGrid w:val="0"/>
              <w:spacing w:after="0" w:line="3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5CF1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5FABCFCA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734D975B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省级财政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C6C56BB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167.20</w:t>
            </w:r>
          </w:p>
        </w:tc>
        <w:tc>
          <w:tcPr>
            <w:tcW w:w="1142" w:type="pct"/>
            <w:gridSpan w:val="4"/>
            <w:shd w:val="clear" w:color="auto" w:fill="auto"/>
            <w:vAlign w:val="center"/>
          </w:tcPr>
          <w:p w14:paraId="60503B60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省级财政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1A04237C">
            <w:pPr>
              <w:widowControl w:val="0"/>
              <w:snapToGrid w:val="0"/>
              <w:spacing w:after="0" w:line="3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167.20</w:t>
            </w:r>
          </w:p>
        </w:tc>
      </w:tr>
      <w:tr w14:paraId="6086E0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53D8AEAE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0710E1EC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实际支出资金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2FEDC13A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94.10</w:t>
            </w:r>
          </w:p>
        </w:tc>
        <w:tc>
          <w:tcPr>
            <w:tcW w:w="1142" w:type="pct"/>
            <w:gridSpan w:val="4"/>
            <w:shd w:val="clear" w:color="auto" w:fill="auto"/>
            <w:vAlign w:val="center"/>
          </w:tcPr>
          <w:p w14:paraId="3A439A04">
            <w:pPr>
              <w:widowControl w:val="0"/>
              <w:snapToGrid w:val="0"/>
              <w:spacing w:after="0" w:line="30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结转结余资金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7509158E">
            <w:pPr>
              <w:widowControl w:val="0"/>
              <w:snapToGrid w:val="0"/>
              <w:spacing w:after="0" w:line="3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73.10</w:t>
            </w:r>
          </w:p>
        </w:tc>
      </w:tr>
      <w:tr w14:paraId="2DA040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606" w:type="pct"/>
            <w:vMerge w:val="continue"/>
            <w:shd w:val="clear" w:color="auto" w:fill="auto"/>
            <w:vAlign w:val="center"/>
          </w:tcPr>
          <w:p w14:paraId="7E499F8F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39184437">
            <w:pPr>
              <w:widowControl w:val="0"/>
              <w:snapToGrid w:val="0"/>
              <w:spacing w:after="0"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预算执行率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7B539A04">
            <w:pPr>
              <w:widowControl w:val="0"/>
              <w:snapToGrid w:val="0"/>
              <w:spacing w:after="0" w:line="3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56.28%</w:t>
            </w:r>
          </w:p>
        </w:tc>
      </w:tr>
      <w:tr w14:paraId="2D7DCB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A6D52EB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二、绩效目标</w:t>
            </w:r>
          </w:p>
        </w:tc>
      </w:tr>
      <w:tr w14:paraId="305C59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4BC2AB7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年度目标</w:t>
            </w:r>
          </w:p>
        </w:tc>
      </w:tr>
      <w:tr w14:paraId="69AE26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8481AE0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2024年开展一系列文艺创作、举办展览展演、评奖、学术研讨、调研、开展业务培训等活动，形成协会有品牌、市州有特色、县区有典型，层次分明、结构合理、优势突出、特色鲜明的甘肃文艺体系，提高人民群众文化艺术生活质量，推动甘肃文艺事业繁荣发展。</w:t>
            </w:r>
          </w:p>
        </w:tc>
      </w:tr>
      <w:tr w14:paraId="59F08F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AC927C1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三、评价基本情况</w:t>
            </w:r>
          </w:p>
        </w:tc>
      </w:tr>
      <w:tr w14:paraId="07DF98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56A5D6F1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评价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范围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5A1C502B">
            <w:pPr>
              <w:keepNext/>
              <w:keepLines/>
              <w:widowControl w:val="0"/>
              <w:spacing w:after="0" w:line="300" w:lineRule="exact"/>
              <w:jc w:val="both"/>
              <w:outlineLvl w:val="5"/>
              <w:rPr>
                <w:rFonts w:ascii="宋体" w:hAnsi="宋体" w:eastAsiaTheme="majorEastAsia" w:cstheme="majorBidi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2024年度文化艺术活动经费项目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涉及资金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167.20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万元。</w:t>
            </w:r>
          </w:p>
        </w:tc>
      </w:tr>
      <w:tr w14:paraId="4B6EEE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0FE1C92C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评价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依据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27D36780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1.《中华人民共和国预算法》；</w:t>
            </w:r>
          </w:p>
          <w:p w14:paraId="20AE6830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2.《中华人民共和国预算法实施条例》（中华人民共和国国务院令第729号）；</w:t>
            </w:r>
          </w:p>
          <w:p w14:paraId="1FCAEBF2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3.《中共中央 国务院关于全面实施预算绩效管理的意见》（中发〔2018〕34号）；</w:t>
            </w:r>
          </w:p>
          <w:p w14:paraId="19558847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4.《财政部关于印发〈项目支出绩效评价管理办法〉的通知》（财预〔2020〕10号）；</w:t>
            </w:r>
          </w:p>
          <w:p w14:paraId="3A38430F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5.《财政部关于印发〈中央部门项目支出核心绩效目标和指标设置及取值指引（试行）〉的通知》（财预〔2021〕101号）；</w:t>
            </w:r>
          </w:p>
          <w:p w14:paraId="0458C49E">
            <w:pPr>
              <w:widowControl w:val="0"/>
              <w:snapToGrid w:val="0"/>
              <w:spacing w:after="0" w:line="3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6.《中共甘肃省委 甘肃省人民政府关于全面实施预算绩效管理的实施意见》（甘发〔2018〕32号）；</w:t>
            </w:r>
          </w:p>
        </w:tc>
      </w:tr>
      <w:tr w14:paraId="390D8A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0D712871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评价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依据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21D62A2E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7.《甘肃省财政厅关于印发〈甘肃省省级预算绩效管理办法〉等6个办法和规程的通知》（甘财绩〔2020〕5号）；</w:t>
            </w:r>
          </w:p>
          <w:p w14:paraId="36B61D9F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8.《甘肃省财政厅关于印发〈甘肃省省级预算绩效管理结果应用办法〉的通知》（甘财绩〔2023〕8号）；</w:t>
            </w:r>
          </w:p>
          <w:p w14:paraId="1498F91F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9.《甘肃省财政厅关于进一步做好预算绩效信息公开工作的通知》（甘财绩〔2024〕1号）；</w:t>
            </w:r>
          </w:p>
          <w:p w14:paraId="26F5FC94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10.项目绩效目标申报表、绩效自评表、监控表；</w:t>
            </w:r>
          </w:p>
          <w:p w14:paraId="14B0CF80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11.甘肃省文联管理制度汇编；</w:t>
            </w:r>
          </w:p>
          <w:p w14:paraId="58C0DD91">
            <w:pPr>
              <w:widowControl w:val="0"/>
              <w:snapToGrid w:val="0"/>
              <w:spacing w:after="0"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12.部门年度工作总结、反映实施产出与效益的相关数据及资料；</w:t>
            </w:r>
          </w:p>
          <w:p w14:paraId="24715DF0">
            <w:pPr>
              <w:widowControl w:val="0"/>
              <w:snapToGrid w:val="0"/>
              <w:spacing w:after="0" w:line="3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13.其他与项目相关的资料等。</w:t>
            </w:r>
          </w:p>
        </w:tc>
      </w:tr>
      <w:tr w14:paraId="795FFC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2421DA80">
            <w:pPr>
              <w:widowControl w:val="0"/>
              <w:snapToGrid w:val="0"/>
              <w:spacing w:after="0" w:line="30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绩效评价指标体系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3BCCE1EC">
            <w:pPr>
              <w:widowControl w:val="0"/>
              <w:snapToGrid w:val="0"/>
              <w:spacing w:after="0" w:line="3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依据财政部《关于印发&lt;项目支出绩效评价管理办法&gt;的通知》（财预〔2020〕10号）文件要求，以文件中指标体系参考框架为基础，结合文化艺术活动经费项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实际情况，设计指标体系。1.决策：占权重分12分。2.过程：占权重分26分。3.产出：占权重分30分。4.效益：占权重分32分。</w:t>
            </w:r>
          </w:p>
        </w:tc>
      </w:tr>
      <w:tr w14:paraId="4E7758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020304B7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评价办法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265AEF72">
            <w:pPr>
              <w:widowControl w:val="0"/>
              <w:snapToGrid w:val="0"/>
              <w:spacing w:after="0" w:line="300" w:lineRule="exact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1.比较法。2.因素分析法。</w:t>
            </w:r>
            <w:bookmarkStart w:id="1" w:name="_Toc23178564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bookmarkEnd w:id="1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社会调查法。</w:t>
            </w:r>
          </w:p>
        </w:tc>
      </w:tr>
      <w:tr w14:paraId="7EED15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68040DDB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数据采集及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处理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办法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177E5953">
            <w:pPr>
              <w:widowControl w:val="0"/>
              <w:snapToGrid w:val="0"/>
              <w:spacing w:after="0" w:line="300" w:lineRule="exact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信息与数据收集采取观察法、调查问卷法、访谈法、文献法等方式进行，数据处理采取集中分析方法开展。</w:t>
            </w:r>
          </w:p>
        </w:tc>
      </w:tr>
      <w:tr w14:paraId="60F66C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790" w:type="pct"/>
            <w:gridSpan w:val="3"/>
            <w:shd w:val="clear" w:color="auto" w:fill="auto"/>
            <w:vAlign w:val="center"/>
          </w:tcPr>
          <w:p w14:paraId="04200908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绩效评价工作过程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14:paraId="779A0E72">
            <w:pPr>
              <w:widowControl w:val="0"/>
              <w:snapToGrid w:val="0"/>
              <w:spacing w:after="0" w:line="300" w:lineRule="exact"/>
              <w:jc w:val="both"/>
              <w:rPr>
                <w:rFonts w:hint="default" w:ascii="宋体" w:hAnsi="宋体" w:eastAsia="宋体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default" w:ascii="宋体" w:hAnsi="宋体" w:eastAsia="宋体" w:cs="Times New Roman"/>
                <w:bCs/>
                <w:color w:val="000000"/>
                <w:sz w:val="24"/>
                <w:szCs w:val="24"/>
                <w:lang w:val="en-US"/>
              </w:rPr>
              <w:t>前期准备。评价组查阅相关国家规划、文件资料及项目绩效目标表（公开版），了解项目实施内容，梳理项目资料清单，编制指标体系和满意度调查问卷。二是现场核查。1.资料复核。收集项目资料并分析，现场抽凭、询问财务人员，了解账务处理及资金使用状况。2.开展线上问卷调查，回收有效调查问卷413份，整理汇总问卷结果。三是项目绩效打分。对照指标体系，汇总问题，进行打分。四是撰写评价报告。根据评价组意见及打分情况，项目负责人撰写评价报告，形成项目资料文档，一并报送委托单位。</w:t>
            </w:r>
          </w:p>
        </w:tc>
      </w:tr>
      <w:tr w14:paraId="493882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761603D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四、评价结论和绩效分析</w:t>
            </w:r>
          </w:p>
        </w:tc>
      </w:tr>
      <w:tr w14:paraId="0B1B8D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20" w:type="pct"/>
            <w:gridSpan w:val="2"/>
            <w:shd w:val="clear" w:color="auto" w:fill="auto"/>
            <w:vAlign w:val="center"/>
          </w:tcPr>
          <w:p w14:paraId="3CC3589E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综合评价结论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3E26045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评价得分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14:paraId="116FC60F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88.75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14:paraId="6E80991F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评价等级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5F28BB4F">
            <w:pPr>
              <w:widowControl w:val="0"/>
              <w:snapToGrid w:val="0"/>
              <w:spacing w:after="0"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良</w:t>
            </w:r>
          </w:p>
        </w:tc>
      </w:tr>
      <w:tr w14:paraId="3809CE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20" w:type="pct"/>
            <w:gridSpan w:val="2"/>
            <w:vMerge w:val="restart"/>
            <w:shd w:val="clear" w:color="auto" w:fill="auto"/>
            <w:vAlign w:val="center"/>
          </w:tcPr>
          <w:p w14:paraId="33C5162D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绩效分析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55C14F8">
            <w:pPr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指标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2C72DAC">
            <w:pPr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决策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14:paraId="3CBB8A44">
            <w:pPr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过程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7F3AC2FA">
            <w:pPr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6551F93">
            <w:pPr>
              <w:spacing w:after="0"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效益</w:t>
            </w:r>
          </w:p>
        </w:tc>
      </w:tr>
      <w:tr w14:paraId="7789F4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20" w:type="pct"/>
            <w:gridSpan w:val="2"/>
            <w:vMerge w:val="continue"/>
            <w:shd w:val="clear" w:color="auto" w:fill="auto"/>
            <w:vAlign w:val="center"/>
          </w:tcPr>
          <w:p w14:paraId="753A9FAC">
            <w:pPr>
              <w:widowControl w:val="0"/>
              <w:snapToGrid w:val="0"/>
              <w:spacing w:after="0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C43FA6E">
            <w:pPr>
              <w:spacing w:after="0"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得分率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10A5CDEE">
            <w:pPr>
              <w:spacing w:after="0" w:line="30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02" w:type="pct"/>
            <w:gridSpan w:val="4"/>
            <w:shd w:val="clear" w:color="auto" w:fill="auto"/>
            <w:vAlign w:val="center"/>
          </w:tcPr>
          <w:p w14:paraId="6C4913E7">
            <w:pPr>
              <w:spacing w:after="0" w:line="30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81.73%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666B695A">
            <w:pPr>
              <w:spacing w:after="0" w:line="30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91.67%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6D04914">
            <w:pPr>
              <w:spacing w:after="0" w:line="300" w:lineRule="exact"/>
              <w:jc w:val="center"/>
              <w:rPr>
                <w:rFonts w:hint="default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87.50%</w:t>
            </w:r>
          </w:p>
        </w:tc>
      </w:tr>
      <w:tr w14:paraId="426C4A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6CE4B2EB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五、存在问题</w:t>
            </w:r>
          </w:p>
        </w:tc>
      </w:tr>
      <w:tr w14:paraId="6E7587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26DD5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合同签订严谨性欠缺</w:t>
            </w:r>
          </w:p>
          <w:p w14:paraId="54D2C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是个别合同法律依据废止，如《装裱服务合同》《会展服务合同》所依据的《中华人民共和国合同法》已于2021年1月1日废止。二是《装裱服务合同》中缺少合同履行时限和验收标准条款，不符合《中华人民共和国民法典》合同篇“承揽合同的内容一般包括承揽的标的、数量、质量、报酬，承揽方式，材料的提供，履行期限，验收标准和方法等条款”规定。</w:t>
            </w:r>
          </w:p>
          <w:p w14:paraId="2D5C9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文艺活动效益发挥不够充分</w:t>
            </w:r>
          </w:p>
          <w:p w14:paraId="3869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是文化资源分配不均，文艺活动主要集中在兰州市区，大多数农村地区群众实际上难以获得现场参与机会。二是根据问卷调查结果，大部分群众认为：①当前文化艺术活动内容的创新性和多样性有待提升。②文化艺术活动宣传推广力度和渠道有待优化。三是缺乏对青年文艺人才的挖掘与跟踪培养，日常培训、讲座内容相对零散，未形成系统性培养计划，青年文艺人才成长缓慢，甘肃省文联仍需加大对青年人才的培养、扶持力度。</w:t>
            </w:r>
          </w:p>
        </w:tc>
      </w:tr>
      <w:tr w14:paraId="3EA9FF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5A466E0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六、有关对策建议</w:t>
            </w:r>
          </w:p>
        </w:tc>
      </w:tr>
      <w:tr w14:paraId="25B173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FB623A6">
            <w:pPr>
              <w:widowControl w:val="0"/>
              <w:numPr>
                <w:ilvl w:val="0"/>
                <w:numId w:val="0"/>
              </w:numPr>
              <w:snapToGrid w:val="0"/>
              <w:spacing w:after="0" w:line="300" w:lineRule="exact"/>
              <w:jc w:val="both"/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  <w:t>强化合同管理</w:t>
            </w:r>
          </w:p>
          <w:p w14:paraId="3ACAE5B6">
            <w:pPr>
              <w:widowControl w:val="0"/>
              <w:numPr>
                <w:ilvl w:val="0"/>
                <w:numId w:val="0"/>
              </w:numPr>
              <w:snapToGrid w:val="0"/>
              <w:spacing w:after="0" w:line="300" w:lineRule="exact"/>
              <w:jc w:val="both"/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  <w:t>明确合同审核要求，确保所有合同条款符合《中华人民共和国民法典》合同篇相关规定，确保采购合同依据最新法律法规，避免使用已废止的法律条款，同时，检查合同要素是否完整，确保合同条款清晰、完整，所有约定及相关附件齐全，不遗漏任何细节，如合同履约期限、验收标准等。</w:t>
            </w:r>
          </w:p>
          <w:p w14:paraId="125B3179">
            <w:pPr>
              <w:widowControl w:val="0"/>
              <w:numPr>
                <w:ilvl w:val="0"/>
                <w:numId w:val="0"/>
              </w:numPr>
              <w:snapToGrid w:val="0"/>
              <w:spacing w:after="0" w:line="300" w:lineRule="exact"/>
              <w:jc w:val="both"/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  <w:t>提升文艺工作质效</w:t>
            </w:r>
          </w:p>
          <w:p w14:paraId="3F7EA493">
            <w:pPr>
              <w:widowControl w:val="0"/>
              <w:numPr>
                <w:ilvl w:val="0"/>
                <w:numId w:val="0"/>
              </w:numPr>
              <w:snapToGrid w:val="0"/>
              <w:spacing w:after="0" w:line="300" w:lineRule="exact"/>
              <w:jc w:val="both"/>
              <w:rPr>
                <w:rFonts w:ascii="宋体" w:hAnsi="宋体" w:eastAsiaTheme="majorEastAsia" w:cstheme="majorBidi"/>
                <w:bCs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  <w:t>一是推动城乡文化资源均衡共享，利用农闲、节假日在农村地区举办精选展览、小型演出、讲座培训等活动。同时，对市区重点活动（展览开幕、精品演出、名家讲座）进行同步直播，可建设文学艺术活动影像库资源，提供往期精品展览全景、经典演出、讲座课程免费点播。二是创新活动内容，鼓励推广沉浸式体验、互动装置等现代形式多元化展示文艺作品，让参展人员深刻感受作品内涵。同时，充分应用问卷结果，听取群众意见，增加活动、专业艺术培训场次，重视非遗文化传承。此外，活动宣传推广上，灵活利用抖音、快手、B站、小红书等青年人聚集平台，可制作展览幕后花絮等短视频，吸引更多群众关注相关文艺活动。三是系统培育青年文艺人才，制定明确的培训计划、培养周期等，按照不同艺术门类建立人才数据库，对优秀人才进行有针对性地长期跟踪辅导，提供更多成果展示机会，强化青年文艺人才实践锻炼</w:t>
            </w:r>
            <w:bookmarkStart w:id="2" w:name="_GoBack"/>
            <w:bookmarkEnd w:id="2"/>
            <w:r>
              <w:rPr>
                <w:rFonts w:hint="eastAsia" w:ascii="宋体" w:hAnsi="宋体" w:eastAsiaTheme="majorEastAsia" w:cstheme="majorBidi"/>
                <w:bCs/>
                <w:sz w:val="24"/>
                <w:szCs w:val="24"/>
              </w:rPr>
              <w:t>。</w:t>
            </w:r>
          </w:p>
        </w:tc>
      </w:tr>
      <w:tr w14:paraId="725E16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9F59449">
            <w:pPr>
              <w:widowControl w:val="0"/>
              <w:snapToGrid w:val="0"/>
              <w:spacing w:after="0"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七、其他需要说明的事项</w:t>
            </w:r>
          </w:p>
        </w:tc>
      </w:tr>
      <w:tr w14:paraId="708F80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5D4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无。</w:t>
            </w:r>
          </w:p>
        </w:tc>
      </w:tr>
    </w:tbl>
    <w:p w14:paraId="24C85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2D6E"/>
    <w:rsid w:val="01A85D51"/>
    <w:rsid w:val="092101D9"/>
    <w:rsid w:val="171C2C91"/>
    <w:rsid w:val="18901EE1"/>
    <w:rsid w:val="1D8137D9"/>
    <w:rsid w:val="28F35056"/>
    <w:rsid w:val="2B6C1B7D"/>
    <w:rsid w:val="332D70F2"/>
    <w:rsid w:val="3C487DE2"/>
    <w:rsid w:val="52B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toc 2"/>
    <w:basedOn w:val="1"/>
    <w:next w:val="1"/>
    <w:qFormat/>
    <w:uiPriority w:val="0"/>
    <w:pPr>
      <w:widowControl w:val="0"/>
      <w:spacing w:line="660" w:lineRule="exact"/>
      <w:ind w:left="0" w:firstLine="0" w:firstLineChars="0"/>
      <w:jc w:val="left"/>
    </w:pPr>
    <w:rPr>
      <w:rFonts w:ascii="Times New Roman" w:hAnsi="Times New Roman" w:eastAsia="黑体" w:cs="Times New Roman"/>
      <w:kern w:val="0"/>
      <w:sz w:val="22"/>
      <w:szCs w:val="2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2315</Words>
  <Characters>2468</Characters>
  <Lines>0</Lines>
  <Paragraphs>0</Paragraphs>
  <TotalTime>2</TotalTime>
  <ScaleCrop>false</ScaleCrop>
  <LinksUpToDate>false</LinksUpToDate>
  <CharactersWithSpaces>2470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2025-08-22T07:43:00Z</dcterms:created>
  <dc:creator>来财</dc:creator>
  <cp:lastModifiedBy>来财</cp:lastModifiedBy>
  <dcterms:modified xsi:type="dcterms:W3CDTF">2025-08-22T08:13:13Z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4734B5FB289845BE8A81A6878B5CA8EC_11</vt:lpwstr>
  </property>
  <property fmtid="{D5CDD505-2E9C-101B-9397-08002B2CF9AE}" pid="4" name="KSOTemplateDocerSaveRecord">
    <vt:lpwstr>eyJoZGlkIjoiOTc3M2Y5NzIzMDFlZjAyY2Q4Njk5ODkyYjFjNzBiNTQiLCJ1c2VySWQiOiIxMTI1NjMzMzQyIn0=</vt:lpwstr>
  </property>
</Properties>
</file>